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AD5A1B" w:rsidRPr="00AD5A1B">
        <w:rPr>
          <w:b/>
          <w:sz w:val="28"/>
          <w:szCs w:val="28"/>
        </w:rPr>
        <w:t>Support for the building integration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AD5A1B">
        <w:rPr>
          <w:b/>
          <w:sz w:val="28"/>
          <w:szCs w:val="28"/>
        </w:rPr>
        <w:t>137</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245"/>
        <w:gridCol w:w="1644"/>
        <w:gridCol w:w="1710"/>
      </w:tblGrid>
      <w:tr w:rsidR="008379CA" w:rsidRPr="00E710A5" w:rsidTr="002E6EA5">
        <w:trPr>
          <w:trHeight w:val="54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245"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D161FF">
              <w:t xml:space="preserve"> </w:t>
            </w:r>
            <w:r w:rsidR="00AD5A1B" w:rsidRPr="00AD5A1B">
              <w:rPr>
                <w:szCs w:val="24"/>
              </w:rPr>
              <w:t>62D4HM</w:t>
            </w:r>
            <w:r w:rsidR="00BB1BA4">
              <w:rPr>
                <w:szCs w:val="24"/>
              </w:rPr>
              <w:t xml:space="preserve"> </w:t>
            </w:r>
            <w:r w:rsidR="008C4346">
              <w:rPr>
                <w:szCs w:val="24"/>
              </w:rPr>
              <w:t>v1.</w:t>
            </w:r>
            <w:r w:rsidR="00AD5A1B">
              <w:rPr>
                <w:szCs w:val="24"/>
              </w:rPr>
              <w:t>0</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D161FF">
        <w:trPr>
          <w:trHeight w:val="802"/>
        </w:trPr>
        <w:tc>
          <w:tcPr>
            <w:tcW w:w="738" w:type="dxa"/>
            <w:shd w:val="clear" w:color="auto" w:fill="auto"/>
            <w:vAlign w:val="center"/>
          </w:tcPr>
          <w:p w:rsidR="008379CA" w:rsidRPr="00800995" w:rsidRDefault="00F160C2" w:rsidP="00E52A4D">
            <w:pPr>
              <w:jc w:val="center"/>
              <w:rPr>
                <w:szCs w:val="24"/>
              </w:rPr>
            </w:pPr>
            <w:r w:rsidRPr="00800995">
              <w:rPr>
                <w:szCs w:val="24"/>
              </w:rPr>
              <w:t>D1</w:t>
            </w:r>
          </w:p>
        </w:tc>
        <w:tc>
          <w:tcPr>
            <w:tcW w:w="5245" w:type="dxa"/>
            <w:shd w:val="clear" w:color="auto" w:fill="auto"/>
            <w:vAlign w:val="center"/>
          </w:tcPr>
          <w:p w:rsidR="0019073F" w:rsidRPr="005045A1" w:rsidRDefault="00AD5A1B" w:rsidP="003348A8">
            <w:pPr>
              <w:rPr>
                <w:szCs w:val="24"/>
              </w:rPr>
            </w:pPr>
            <w:r w:rsidRPr="00AD5A1B">
              <w:rPr>
                <w:szCs w:val="24"/>
              </w:rPr>
              <w:t>Integration of the diagnostic at the B1 level (B11/B74).</w:t>
            </w:r>
          </w:p>
        </w:tc>
        <w:tc>
          <w:tcPr>
            <w:tcW w:w="1644" w:type="dxa"/>
            <w:shd w:val="clear" w:color="auto" w:fill="auto"/>
            <w:vAlign w:val="center"/>
          </w:tcPr>
          <w:p w:rsidR="008379CA" w:rsidRPr="00F160C2" w:rsidRDefault="00546C13" w:rsidP="00D161FF">
            <w:pPr>
              <w:keepNext/>
              <w:jc w:val="center"/>
              <w:rPr>
                <w:szCs w:val="24"/>
              </w:rPr>
            </w:pPr>
            <w:r>
              <w:rPr>
                <w:szCs w:val="24"/>
              </w:rPr>
              <w:t xml:space="preserve">T0* + </w:t>
            </w:r>
            <w:r w:rsidR="00AD5A1B">
              <w:rPr>
                <w:szCs w:val="24"/>
              </w:rPr>
              <w:t>4</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D161FF">
        <w:trPr>
          <w:trHeight w:val="817"/>
        </w:trPr>
        <w:tc>
          <w:tcPr>
            <w:tcW w:w="738"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5245" w:type="dxa"/>
            <w:shd w:val="clear" w:color="auto" w:fill="auto"/>
            <w:vAlign w:val="center"/>
          </w:tcPr>
          <w:p w:rsidR="003D772F" w:rsidRPr="005045A1" w:rsidRDefault="00AD5A1B" w:rsidP="00D37437">
            <w:pPr>
              <w:spacing w:line="276" w:lineRule="auto"/>
              <w:rPr>
                <w:szCs w:val="24"/>
              </w:rPr>
            </w:pPr>
            <w:r w:rsidRPr="00AD5A1B">
              <w:rPr>
                <w:szCs w:val="24"/>
              </w:rPr>
              <w:t>Integration of the diagnostic at the L1 level.</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AD5A1B">
              <w:rPr>
                <w:szCs w:val="24"/>
              </w:rPr>
              <w:t>8</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D161FF">
        <w:trPr>
          <w:trHeight w:val="816"/>
        </w:trPr>
        <w:tc>
          <w:tcPr>
            <w:tcW w:w="738"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5245" w:type="dxa"/>
            <w:shd w:val="clear" w:color="auto" w:fill="auto"/>
            <w:vAlign w:val="center"/>
          </w:tcPr>
          <w:p w:rsidR="00546C13" w:rsidRPr="005045A1" w:rsidRDefault="00AD5A1B" w:rsidP="005D4075">
            <w:pPr>
              <w:spacing w:line="276" w:lineRule="auto"/>
              <w:rPr>
                <w:szCs w:val="24"/>
              </w:rPr>
            </w:pPr>
            <w:r w:rsidRPr="00AD5A1B">
              <w:rPr>
                <w:szCs w:val="24"/>
              </w:rPr>
              <w:t>Integration of the diagnostic at the L2, L3 and L4 levels.</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AD5A1B">
              <w:rPr>
                <w:szCs w:val="24"/>
              </w:rPr>
              <w:t>12</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D161FF" w:rsidRPr="00E710A5" w:rsidTr="002E6EA5">
        <w:trPr>
          <w:trHeight w:val="530"/>
        </w:trPr>
        <w:tc>
          <w:tcPr>
            <w:tcW w:w="738" w:type="dxa"/>
            <w:shd w:val="clear" w:color="auto" w:fill="auto"/>
            <w:vAlign w:val="center"/>
          </w:tcPr>
          <w:p w:rsidR="00D161FF" w:rsidRDefault="00D161FF" w:rsidP="00D161FF">
            <w:pPr>
              <w:jc w:val="center"/>
              <w:rPr>
                <w:szCs w:val="24"/>
              </w:rPr>
            </w:pPr>
          </w:p>
        </w:tc>
        <w:tc>
          <w:tcPr>
            <w:tcW w:w="5245" w:type="dxa"/>
            <w:shd w:val="clear" w:color="auto" w:fill="auto"/>
            <w:vAlign w:val="center"/>
          </w:tcPr>
          <w:p w:rsidR="00D161FF" w:rsidRPr="00546C13" w:rsidRDefault="00D161FF" w:rsidP="00D161FF">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D161FF" w:rsidRDefault="00D161FF" w:rsidP="00D161FF">
            <w:pPr>
              <w:rPr>
                <w:szCs w:val="24"/>
              </w:rPr>
            </w:pPr>
          </w:p>
        </w:tc>
        <w:tc>
          <w:tcPr>
            <w:tcW w:w="1710" w:type="dxa"/>
            <w:shd w:val="clear" w:color="auto" w:fill="auto"/>
            <w:vAlign w:val="center"/>
          </w:tcPr>
          <w:p w:rsidR="00D161FF" w:rsidRPr="003309D6" w:rsidRDefault="00D161FF" w:rsidP="00D161FF">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D161FF" w:rsidRDefault="00D161FF" w:rsidP="00084DCB">
      <w:pPr>
        <w:keepNext/>
        <w:rPr>
          <w:i/>
          <w:szCs w:val="24"/>
        </w:rPr>
      </w:pPr>
    </w:p>
    <w:p w:rsidR="00D161FF" w:rsidRDefault="00D161FF" w:rsidP="00084DCB">
      <w:pPr>
        <w:keepNext/>
        <w:rPr>
          <w:i/>
          <w:szCs w:val="24"/>
        </w:rPr>
      </w:pPr>
    </w:p>
    <w:p w:rsidR="00A442EF" w:rsidRDefault="00A442EF" w:rsidP="00084DCB">
      <w:pPr>
        <w:keepNext/>
        <w:rPr>
          <w:szCs w:val="24"/>
        </w:rPr>
      </w:pPr>
    </w:p>
    <w:p w:rsidR="00D161FF" w:rsidRDefault="00D161FF" w:rsidP="00084DCB">
      <w:pPr>
        <w:keepNext/>
        <w:rPr>
          <w:szCs w:val="24"/>
        </w:rPr>
      </w:pPr>
    </w:p>
    <w:p w:rsidR="00D161FF" w:rsidRDefault="00D161FF">
      <w:pPr>
        <w:jc w:val="left"/>
        <w:rPr>
          <w:szCs w:val="24"/>
        </w:rPr>
      </w:pPr>
      <w:r>
        <w:rPr>
          <w:szCs w:val="24"/>
        </w:rPr>
        <w:br w:type="page"/>
      </w:r>
    </w:p>
    <w:p w:rsidR="00084DCB" w:rsidRPr="00E710A5" w:rsidRDefault="00084DCB" w:rsidP="00084DCB">
      <w:pPr>
        <w:keepNext/>
        <w:rPr>
          <w:szCs w:val="24"/>
        </w:rPr>
      </w:pPr>
      <w:r w:rsidRPr="00E710A5">
        <w:rPr>
          <w:szCs w:val="24"/>
        </w:rPr>
        <w:lastRenderedPageBreak/>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AD5A1B">
              <w:rPr>
                <w:szCs w:val="24"/>
              </w:rPr>
              <w:t>5</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AD5A1B">
              <w:rPr>
                <w:szCs w:val="24"/>
              </w:rPr>
              <w:t>9</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AD5A1B">
              <w:rPr>
                <w:szCs w:val="24"/>
              </w:rPr>
              <w:t>13</w:t>
            </w:r>
            <w:bookmarkStart w:id="0" w:name="_GoBack"/>
            <w:bookmarkEnd w:id="0"/>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AD5A1B">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AD5A1B">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D5A1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D5A1B">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2137</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37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colormru v:ext="edit" colors="#ffc"/>
    </o:shapedefaults>
    <o:shapelayout v:ext="edit">
      <o:idmap v:ext="edit" data="1"/>
    </o:shapelayout>
  </w:shapeDefaults>
  <w:decimalSymbol w:val="."/>
  <w:listSeparator w:val=","/>
  <w14:docId w14:val="100BAFAE"/>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3933D-DC16-411A-B3B5-ADBEFA1E2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70</TotalTime>
  <Pages>2</Pages>
  <Words>300</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23</cp:revision>
  <cp:lastPrinted>2020-03-12T10:00:00Z</cp:lastPrinted>
  <dcterms:created xsi:type="dcterms:W3CDTF">2020-11-06T15:50:00Z</dcterms:created>
  <dcterms:modified xsi:type="dcterms:W3CDTF">2021-09-29T15:39:00Z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